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F08D" w14:textId="77777777" w:rsidR="006732D2" w:rsidRPr="001D721C" w:rsidRDefault="006732D2" w:rsidP="006732D2">
      <w:pPr>
        <w:pStyle w:val="Titre1"/>
        <w:rPr>
          <w:rFonts w:cs="Arial"/>
          <w:lang w:val="fr-FR"/>
        </w:rPr>
      </w:pPr>
      <w:r w:rsidRPr="001D721C">
        <w:rPr>
          <w:rFonts w:eastAsia="Calibri" w:cs="Arial"/>
          <w:lang w:val="fr-FR"/>
        </w:rPr>
        <w:t>Hygiène des aliments</w:t>
      </w:r>
    </w:p>
    <w:p w14:paraId="0E242033" w14:textId="77777777" w:rsidR="006732D2" w:rsidRPr="001D721C" w:rsidRDefault="006732D2" w:rsidP="006732D2">
      <w:pPr>
        <w:pStyle w:val="Titre2"/>
        <w:rPr>
          <w:rFonts w:cs="Arial"/>
          <w:lang w:val="fr-FR"/>
        </w:rPr>
      </w:pPr>
      <w:r w:rsidRPr="001D721C">
        <w:rPr>
          <w:rFonts w:cs="Arial"/>
          <w:lang w:val="fr-FR"/>
        </w:rPr>
        <w:t>Scénarios – Guide pour l’enseignant</w:t>
      </w:r>
    </w:p>
    <w:p w14:paraId="01197505" w14:textId="77777777" w:rsidR="00614B50" w:rsidRDefault="00614B50" w:rsidP="006732D2">
      <w:pPr>
        <w:pStyle w:val="Titre3"/>
        <w:rPr>
          <w:rFonts w:cs="Arial"/>
          <w:lang w:val="fr-FR"/>
        </w:rPr>
      </w:pPr>
    </w:p>
    <w:p w14:paraId="3E7D2583" w14:textId="66630DE8" w:rsidR="006732D2" w:rsidRPr="006732D2" w:rsidRDefault="006732D2" w:rsidP="006732D2">
      <w:pPr>
        <w:pStyle w:val="Titre3"/>
        <w:rPr>
          <w:rFonts w:cs="Arial"/>
          <w:lang w:val="fr-FR"/>
        </w:rPr>
      </w:pPr>
      <w:r w:rsidRPr="006732D2">
        <w:rPr>
          <w:rFonts w:cs="Arial"/>
          <w:lang w:val="fr-FR"/>
        </w:rPr>
        <w:t>Contexte</w:t>
      </w:r>
    </w:p>
    <w:p w14:paraId="6214EA41" w14:textId="77777777" w:rsidR="006732D2" w:rsidRPr="006732D2" w:rsidRDefault="006732D2" w:rsidP="006732D2">
      <w:pPr>
        <w:autoSpaceDE w:val="0"/>
        <w:autoSpaceDN w:val="0"/>
        <w:adjustRightInd w:val="0"/>
        <w:spacing w:after="0" w:line="240" w:lineRule="auto"/>
        <w:jc w:val="both"/>
        <w:rPr>
          <w:rFonts w:ascii="Arial" w:hAnsi="Arial" w:cs="Arial"/>
          <w:sz w:val="24"/>
          <w:szCs w:val="24"/>
          <w:lang w:val="fr-FR"/>
        </w:rPr>
      </w:pPr>
      <w:r w:rsidRPr="006732D2">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 </w:t>
      </w:r>
      <w:hyperlink r:id="rId10" w:history="1">
        <w:r w:rsidRPr="006732D2">
          <w:rPr>
            <w:rStyle w:val="Lienhypertexte"/>
            <w:rFonts w:ascii="Arial" w:hAnsi="Arial" w:cs="Arial"/>
            <w:sz w:val="24"/>
            <w:szCs w:val="24"/>
            <w:lang w:val="fr-FR"/>
          </w:rPr>
          <w:t>http://safeconsume.eu/</w:t>
        </w:r>
      </w:hyperlink>
      <w:r w:rsidRPr="006732D2">
        <w:rPr>
          <w:rFonts w:ascii="Arial" w:hAnsi="Arial" w:cs="Arial"/>
          <w:sz w:val="24"/>
          <w:szCs w:val="24"/>
          <w:lang w:val="fr-FR"/>
        </w:rPr>
        <w:t>.</w:t>
      </w:r>
    </w:p>
    <w:p w14:paraId="576BAD62" w14:textId="77777777" w:rsidR="006732D2" w:rsidRPr="006732D2" w:rsidRDefault="006732D2" w:rsidP="006732D2">
      <w:pPr>
        <w:autoSpaceDE w:val="0"/>
        <w:autoSpaceDN w:val="0"/>
        <w:adjustRightInd w:val="0"/>
        <w:spacing w:after="0" w:line="240" w:lineRule="auto"/>
        <w:jc w:val="both"/>
        <w:rPr>
          <w:rFonts w:ascii="Arial" w:hAnsi="Arial" w:cs="Arial"/>
          <w:sz w:val="24"/>
          <w:lang w:val="fr-FR"/>
        </w:rPr>
      </w:pPr>
    </w:p>
    <w:p w14:paraId="58E76669" w14:textId="77777777" w:rsidR="006732D2" w:rsidRPr="006732D2" w:rsidRDefault="006732D2" w:rsidP="006732D2">
      <w:pPr>
        <w:spacing w:after="0"/>
        <w:jc w:val="both"/>
        <w:rPr>
          <w:rFonts w:ascii="Arial" w:hAnsi="Arial" w:cs="Arial"/>
          <w:sz w:val="24"/>
          <w:lang w:val="fr-FR"/>
        </w:rPr>
      </w:pPr>
      <w:r w:rsidRPr="006732D2">
        <w:rPr>
          <w:rFonts w:ascii="Arial" w:hAnsi="Arial" w:cs="Arial"/>
          <w:sz w:val="24"/>
          <w:lang w:val="fr-FR"/>
        </w:rPr>
        <w:t>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w:t>
      </w:r>
    </w:p>
    <w:p w14:paraId="4050B3DE" w14:textId="77777777" w:rsidR="006732D2" w:rsidRPr="006732D2" w:rsidRDefault="006732D2" w:rsidP="006732D2">
      <w:pPr>
        <w:spacing w:after="0"/>
        <w:jc w:val="both"/>
        <w:rPr>
          <w:rFonts w:ascii="Arial" w:hAnsi="Arial" w:cs="Arial"/>
          <w:sz w:val="24"/>
          <w:lang w:val="fr-FR"/>
        </w:rPr>
      </w:pPr>
    </w:p>
    <w:p w14:paraId="758A0A8D" w14:textId="588B09FB" w:rsidR="006732D2" w:rsidRPr="00614B50" w:rsidRDefault="006732D2" w:rsidP="00614B50">
      <w:pPr>
        <w:spacing w:after="0"/>
        <w:jc w:val="both"/>
        <w:rPr>
          <w:rFonts w:ascii="Arial" w:hAnsi="Arial" w:cs="Arial"/>
          <w:sz w:val="24"/>
          <w:lang w:val="fr-FR"/>
        </w:rPr>
      </w:pPr>
      <w:r w:rsidRPr="006732D2">
        <w:rPr>
          <w:rFonts w:ascii="Arial" w:hAnsi="Arial" w:cs="Arial"/>
          <w:sz w:val="24"/>
          <w:lang w:val="fr-FR"/>
        </w:rPr>
        <w:t xml:space="preserve">Cette activité explore les croyances et idées fausses répandues sur l’hygiène des aliments, en France et dans d’autre pays Européens. Ce cours présente des scénarios fréquents dans lesquels les enfants, les jeunes adultes et leurs familles peuvent se reconnaître ainsi que des points de discussion en rapport avec chacun de ces scénarios. </w:t>
      </w:r>
    </w:p>
    <w:p w14:paraId="492BDCF0" w14:textId="77777777" w:rsidR="00614B50" w:rsidRPr="006732D2" w:rsidRDefault="00614B50" w:rsidP="006732D2">
      <w:pPr>
        <w:spacing w:after="0"/>
        <w:jc w:val="both"/>
        <w:rPr>
          <w:rFonts w:ascii="Arial" w:hAnsi="Arial" w:cs="Arial"/>
          <w:b/>
          <w:lang w:val="fr-FR"/>
        </w:rPr>
      </w:pPr>
    </w:p>
    <w:p w14:paraId="2ED9CD9B" w14:textId="77777777" w:rsidR="006732D2" w:rsidRPr="006732D2" w:rsidRDefault="006732D2" w:rsidP="006732D2">
      <w:pPr>
        <w:pStyle w:val="Titre3"/>
        <w:jc w:val="both"/>
        <w:rPr>
          <w:rFonts w:cs="Arial"/>
          <w:lang w:val="fr-FR"/>
        </w:rPr>
      </w:pPr>
      <w:r w:rsidRPr="006732D2">
        <w:rPr>
          <w:rFonts w:cs="Arial"/>
          <w:lang w:val="fr-FR"/>
        </w:rPr>
        <w:t>Objectifs d’apprentissage :</w:t>
      </w:r>
    </w:p>
    <w:p w14:paraId="74B1873A" w14:textId="77777777" w:rsidR="006732D2" w:rsidRPr="006732D2" w:rsidRDefault="006732D2" w:rsidP="006732D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 xml:space="preserve">Comprendre que les infections d’origine alimentaire peuvent </w:t>
      </w:r>
      <w:proofErr w:type="gramStart"/>
      <w:r w:rsidRPr="006732D2">
        <w:rPr>
          <w:rFonts w:ascii="Arial" w:hAnsi="Arial" w:cs="Arial"/>
          <w:sz w:val="24"/>
          <w:szCs w:val="24"/>
          <w:lang w:val="fr-FR"/>
        </w:rPr>
        <w:t>avoir</w:t>
      </w:r>
      <w:proofErr w:type="gramEnd"/>
      <w:r w:rsidRPr="006732D2">
        <w:rPr>
          <w:rFonts w:ascii="Arial" w:hAnsi="Arial" w:cs="Arial"/>
          <w:sz w:val="24"/>
          <w:szCs w:val="24"/>
          <w:lang w:val="fr-FR"/>
        </w:rPr>
        <w:t xml:space="preserve"> des conséquences graves et ne contribuent pas à renforcer le système immunitaire.</w:t>
      </w:r>
    </w:p>
    <w:p w14:paraId="599DA6B1" w14:textId="77777777" w:rsidR="006732D2" w:rsidRPr="006732D2" w:rsidRDefault="006732D2" w:rsidP="006732D2">
      <w:pPr>
        <w:spacing w:after="0"/>
        <w:ind w:left="720"/>
        <w:jc w:val="both"/>
        <w:rPr>
          <w:rFonts w:ascii="Arial" w:hAnsi="Arial" w:cs="Arial"/>
          <w:sz w:val="24"/>
          <w:szCs w:val="24"/>
          <w:lang w:val="fr-FR"/>
        </w:rPr>
      </w:pPr>
    </w:p>
    <w:p w14:paraId="1010C06D" w14:textId="77777777" w:rsidR="006732D2" w:rsidRPr="006732D2" w:rsidRDefault="006732D2" w:rsidP="006732D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les conséquences du non-respect des règles d’hygiène à la maison, comme la contamination croisée, et comment les éviter.</w:t>
      </w:r>
    </w:p>
    <w:p w14:paraId="6DB2CD31" w14:textId="77777777" w:rsidR="006732D2" w:rsidRPr="006732D2" w:rsidRDefault="006732D2" w:rsidP="006732D2">
      <w:pPr>
        <w:spacing w:after="0"/>
        <w:jc w:val="both"/>
        <w:rPr>
          <w:rFonts w:ascii="Arial" w:hAnsi="Arial" w:cs="Arial"/>
          <w:sz w:val="24"/>
          <w:szCs w:val="24"/>
          <w:lang w:val="fr-FR"/>
        </w:rPr>
      </w:pPr>
    </w:p>
    <w:p w14:paraId="7F76C875" w14:textId="77777777" w:rsidR="006732D2" w:rsidRPr="006732D2" w:rsidRDefault="006732D2" w:rsidP="006732D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la signification des différents types d’étiquetage sur les denrées alimentaires et leur importance.</w:t>
      </w:r>
    </w:p>
    <w:p w14:paraId="0AF533DB" w14:textId="77777777" w:rsidR="006732D2" w:rsidRPr="006732D2" w:rsidRDefault="006732D2" w:rsidP="006732D2">
      <w:pPr>
        <w:spacing w:after="0"/>
        <w:jc w:val="both"/>
        <w:rPr>
          <w:rFonts w:ascii="Arial" w:hAnsi="Arial" w:cs="Arial"/>
          <w:sz w:val="24"/>
          <w:szCs w:val="24"/>
          <w:lang w:val="fr-FR"/>
        </w:rPr>
      </w:pPr>
    </w:p>
    <w:p w14:paraId="7BD31C11" w14:textId="77777777" w:rsidR="006732D2" w:rsidRPr="006732D2" w:rsidRDefault="006732D2" w:rsidP="006732D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Expliquer la différence entre la sécurité (du point de vue microbiologique) et la qualité des aliments.</w:t>
      </w:r>
    </w:p>
    <w:p w14:paraId="6CE8AB43" w14:textId="77777777" w:rsidR="006732D2" w:rsidRPr="006732D2" w:rsidRDefault="006732D2" w:rsidP="006732D2">
      <w:pPr>
        <w:spacing w:after="0"/>
        <w:jc w:val="both"/>
        <w:rPr>
          <w:rFonts w:ascii="Arial" w:hAnsi="Arial" w:cs="Arial"/>
          <w:sz w:val="24"/>
          <w:szCs w:val="24"/>
          <w:lang w:val="fr-FR"/>
        </w:rPr>
      </w:pPr>
    </w:p>
    <w:p w14:paraId="6721FA44" w14:textId="73AC6049" w:rsidR="00614B50" w:rsidRDefault="006732D2" w:rsidP="00614B50">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que les plats préparés à la maison ne sont pas nécessairement plus sûrs que ceux consommés au restaurant.</w:t>
      </w:r>
    </w:p>
    <w:p w14:paraId="36365501" w14:textId="77777777" w:rsidR="00614B50" w:rsidRPr="00614B50" w:rsidRDefault="00614B50" w:rsidP="00614B50">
      <w:pPr>
        <w:spacing w:after="0"/>
        <w:jc w:val="both"/>
        <w:rPr>
          <w:rFonts w:ascii="Arial" w:hAnsi="Arial" w:cs="Arial"/>
          <w:sz w:val="24"/>
          <w:szCs w:val="24"/>
          <w:lang w:val="fr-FR"/>
        </w:rPr>
      </w:pPr>
    </w:p>
    <w:p w14:paraId="67750D34" w14:textId="77777777" w:rsidR="006732D2" w:rsidRPr="006732D2" w:rsidRDefault="006732D2" w:rsidP="006732D2">
      <w:pPr>
        <w:pStyle w:val="Titre3"/>
        <w:jc w:val="both"/>
        <w:rPr>
          <w:rFonts w:cs="Arial"/>
          <w:lang w:val="fr-FR"/>
        </w:rPr>
      </w:pPr>
      <w:r w:rsidRPr="006732D2">
        <w:rPr>
          <w:rFonts w:cs="Arial"/>
          <w:lang w:val="fr-FR"/>
        </w:rPr>
        <w:t>Ressources:</w:t>
      </w:r>
    </w:p>
    <w:p w14:paraId="10887662" w14:textId="77777777" w:rsidR="006732D2" w:rsidRPr="006732D2" w:rsidRDefault="006732D2" w:rsidP="006732D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PowerPoint Scénarios sur l’hygiène des aliments</w:t>
      </w:r>
    </w:p>
    <w:p w14:paraId="5E32560E" w14:textId="77777777" w:rsidR="006732D2" w:rsidRPr="006732D2" w:rsidRDefault="006732D2" w:rsidP="006732D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Fiche d’activité de l’élève sur les scénarios</w:t>
      </w:r>
    </w:p>
    <w:p w14:paraId="4C1C49BA" w14:textId="77777777" w:rsidR="006732D2" w:rsidRPr="006732D2" w:rsidRDefault="006732D2" w:rsidP="006732D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 xml:space="preserve">Fiche réponse de l’activité de l’élève sur les scénarios </w:t>
      </w:r>
    </w:p>
    <w:p w14:paraId="1EF3D9C5" w14:textId="77777777" w:rsidR="006732D2" w:rsidRPr="006732D2" w:rsidRDefault="006732D2" w:rsidP="006732D2">
      <w:pPr>
        <w:rPr>
          <w:rFonts w:ascii="Arial" w:hAnsi="Arial" w:cs="Arial"/>
          <w:lang w:val="fr-FR"/>
        </w:rPr>
      </w:pPr>
    </w:p>
    <w:p w14:paraId="62EBE196" w14:textId="77777777" w:rsidR="00614B50" w:rsidRDefault="00614B50">
      <w:pPr>
        <w:rPr>
          <w:rFonts w:ascii="Arial" w:eastAsiaTheme="majorEastAsia" w:hAnsi="Arial" w:cs="Arial"/>
          <w:color w:val="00707C" w:themeColor="accent1"/>
          <w:sz w:val="28"/>
          <w:szCs w:val="24"/>
          <w:lang w:val="fr-FR"/>
        </w:rPr>
      </w:pPr>
      <w:r>
        <w:rPr>
          <w:rFonts w:cs="Arial"/>
          <w:lang w:val="fr-FR"/>
        </w:rPr>
        <w:br w:type="page"/>
      </w:r>
    </w:p>
    <w:p w14:paraId="69D96072" w14:textId="77777777" w:rsidR="00614B50" w:rsidRDefault="00614B50" w:rsidP="006732D2">
      <w:pPr>
        <w:pStyle w:val="Titre3"/>
        <w:jc w:val="both"/>
        <w:rPr>
          <w:rFonts w:cs="Arial"/>
          <w:lang w:val="fr-FR"/>
        </w:rPr>
      </w:pPr>
    </w:p>
    <w:p w14:paraId="0BF60B59" w14:textId="0E3A3394" w:rsidR="006732D2" w:rsidRPr="006732D2" w:rsidRDefault="006732D2" w:rsidP="006732D2">
      <w:pPr>
        <w:pStyle w:val="Titre3"/>
        <w:jc w:val="both"/>
        <w:rPr>
          <w:rFonts w:cs="Arial"/>
          <w:lang w:val="fr-FR"/>
        </w:rPr>
      </w:pPr>
      <w:r w:rsidRPr="006732D2">
        <w:rPr>
          <w:rFonts w:cs="Arial"/>
          <w:lang w:val="fr-FR"/>
        </w:rPr>
        <w:t>Plan du cours</w:t>
      </w:r>
    </w:p>
    <w:p w14:paraId="791E1252" w14:textId="77777777" w:rsidR="006732D2" w:rsidRPr="00614B50" w:rsidRDefault="006732D2" w:rsidP="006732D2">
      <w:pPr>
        <w:spacing w:after="0"/>
        <w:jc w:val="both"/>
        <w:rPr>
          <w:rFonts w:ascii="Arial" w:hAnsi="Arial" w:cs="Arial"/>
          <w:sz w:val="24"/>
          <w:szCs w:val="24"/>
          <w:lang w:val="fr-FR"/>
        </w:rPr>
      </w:pPr>
      <w:r w:rsidRPr="00614B50">
        <w:rPr>
          <w:rFonts w:ascii="Arial" w:hAnsi="Arial" w:cs="Arial"/>
          <w:sz w:val="24"/>
          <w:szCs w:val="24"/>
          <w:lang w:val="fr-FR"/>
        </w:rPr>
        <w:t>Conçu pour les 15-18 ans, mais peut être adapté aux 11-14 ans.</w:t>
      </w:r>
    </w:p>
    <w:p w14:paraId="11B1CE73" w14:textId="77777777" w:rsidR="006732D2" w:rsidRPr="006732D2" w:rsidRDefault="006732D2" w:rsidP="006732D2">
      <w:pPr>
        <w:spacing w:after="0"/>
        <w:jc w:val="both"/>
        <w:rPr>
          <w:rFonts w:ascii="Arial" w:hAnsi="Arial" w:cs="Arial"/>
          <w:b/>
          <w:lang w:val="fr-FR"/>
        </w:rPr>
      </w:pPr>
    </w:p>
    <w:p w14:paraId="6D49D296" w14:textId="77777777" w:rsidR="006732D2" w:rsidRPr="006732D2" w:rsidRDefault="006732D2" w:rsidP="006732D2">
      <w:pPr>
        <w:spacing w:after="0"/>
        <w:jc w:val="both"/>
        <w:rPr>
          <w:rFonts w:ascii="Arial" w:hAnsi="Arial" w:cs="Arial"/>
          <w:b/>
          <w:lang w:val="fr-FR"/>
        </w:rPr>
      </w:pPr>
    </w:p>
    <w:p w14:paraId="4420C944" w14:textId="77777777" w:rsidR="006732D2" w:rsidRPr="006732D2" w:rsidRDefault="006732D2" w:rsidP="006732D2">
      <w:pPr>
        <w:pStyle w:val="Titre3"/>
        <w:rPr>
          <w:lang w:val="fr-FR"/>
        </w:rPr>
      </w:pPr>
      <w:r w:rsidRPr="006732D2">
        <w:rPr>
          <w:lang w:val="fr-FR"/>
        </w:rPr>
        <w:t>Introduction</w:t>
      </w:r>
    </w:p>
    <w:p w14:paraId="38D60A73" w14:textId="77777777" w:rsidR="006732D2" w:rsidRPr="006732D2" w:rsidRDefault="006732D2" w:rsidP="006732D2">
      <w:pPr>
        <w:pStyle w:val="Paragraphedeliste"/>
        <w:numPr>
          <w:ilvl w:val="0"/>
          <w:numId w:val="6"/>
        </w:numPr>
        <w:spacing w:after="0"/>
        <w:jc w:val="both"/>
        <w:rPr>
          <w:rFonts w:ascii="Arial" w:hAnsi="Arial" w:cs="Arial"/>
          <w:sz w:val="24"/>
          <w:szCs w:val="24"/>
          <w:lang w:val="fr-FR"/>
        </w:rPr>
      </w:pPr>
      <w:r w:rsidRPr="006732D2">
        <w:rPr>
          <w:rFonts w:ascii="Arial" w:hAnsi="Arial" w:cs="Arial"/>
          <w:sz w:val="24"/>
          <w:szCs w:val="24"/>
          <w:lang w:val="fr-FR"/>
        </w:rPr>
        <w:t xml:space="preserve">Passer en revue chacun des scénarios de la </w:t>
      </w:r>
      <w:r w:rsidRPr="006732D2">
        <w:rPr>
          <w:rFonts w:ascii="Arial" w:hAnsi="Arial" w:cs="Arial"/>
          <w:b/>
          <w:bCs/>
          <w:sz w:val="24"/>
          <w:szCs w:val="24"/>
          <w:lang w:val="fr-FR"/>
        </w:rPr>
        <w:t>présentation PowerPoint : Hygiène des aliments - scénarios</w:t>
      </w:r>
      <w:r w:rsidRPr="006732D2">
        <w:rPr>
          <w:rFonts w:ascii="Arial" w:hAnsi="Arial" w:cs="Arial"/>
          <w:b/>
          <w:sz w:val="24"/>
          <w:szCs w:val="24"/>
          <w:lang w:val="fr-FR"/>
        </w:rPr>
        <w:t>.</w:t>
      </w:r>
      <w:r w:rsidRPr="006732D2">
        <w:rPr>
          <w:rFonts w:ascii="Arial" w:hAnsi="Arial" w:cs="Arial"/>
          <w:sz w:val="24"/>
          <w:szCs w:val="24"/>
          <w:lang w:val="fr-FR"/>
        </w:rPr>
        <w:t xml:space="preserve"> Chaque scénario met en scène des personnages différents dans des situations de la vie courante. </w:t>
      </w:r>
    </w:p>
    <w:p w14:paraId="065BA1F7" w14:textId="77777777" w:rsidR="006732D2" w:rsidRPr="006732D2" w:rsidRDefault="006732D2" w:rsidP="006732D2">
      <w:pPr>
        <w:pStyle w:val="Paragraphedeliste"/>
        <w:spacing w:after="0"/>
        <w:jc w:val="both"/>
        <w:rPr>
          <w:rFonts w:ascii="Arial" w:hAnsi="Arial" w:cs="Arial"/>
          <w:sz w:val="24"/>
          <w:szCs w:val="24"/>
          <w:lang w:val="fr-FR"/>
        </w:rPr>
      </w:pPr>
    </w:p>
    <w:p w14:paraId="04613F73" w14:textId="77777777" w:rsidR="006732D2" w:rsidRPr="006732D2" w:rsidRDefault="006732D2" w:rsidP="006732D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 xml:space="preserve">Les élèves peuvent travailler à deux ou par petits groupes pour débattre entre eux sur ces scénarios. Encouragez les élèves à noter leurs réponses à chaque question de la </w:t>
      </w:r>
      <w:r w:rsidRPr="006732D2">
        <w:rPr>
          <w:rFonts w:ascii="Arial" w:hAnsi="Arial" w:cs="Arial"/>
          <w:b/>
          <w:bCs/>
          <w:sz w:val="24"/>
          <w:szCs w:val="24"/>
          <w:lang w:val="fr-FR"/>
        </w:rPr>
        <w:t>Fiche d’activité</w:t>
      </w:r>
      <w:r w:rsidRPr="006732D2">
        <w:rPr>
          <w:rFonts w:ascii="Arial" w:hAnsi="Arial" w:cs="Arial"/>
          <w:b/>
          <w:sz w:val="24"/>
          <w:szCs w:val="24"/>
          <w:lang w:val="fr-FR"/>
        </w:rPr>
        <w:t xml:space="preserve"> sur les scénarios.</w:t>
      </w:r>
      <w:r w:rsidRPr="006732D2">
        <w:rPr>
          <w:rFonts w:ascii="Arial" w:hAnsi="Arial" w:cs="Arial"/>
          <w:sz w:val="24"/>
          <w:szCs w:val="24"/>
          <w:lang w:val="fr-FR"/>
        </w:rPr>
        <w:t xml:space="preserve"> </w:t>
      </w:r>
    </w:p>
    <w:p w14:paraId="21CBD387" w14:textId="77777777" w:rsidR="006732D2" w:rsidRPr="006732D2" w:rsidRDefault="006732D2" w:rsidP="006732D2">
      <w:pPr>
        <w:keepNext/>
        <w:keepLines/>
        <w:spacing w:before="40" w:after="0"/>
        <w:jc w:val="both"/>
        <w:outlineLvl w:val="2"/>
        <w:rPr>
          <w:rFonts w:ascii="Arial" w:hAnsi="Arial" w:cs="Arial"/>
          <w:sz w:val="24"/>
          <w:szCs w:val="24"/>
          <w:lang w:val="fr-FR"/>
        </w:rPr>
      </w:pPr>
    </w:p>
    <w:p w14:paraId="237EB717" w14:textId="77777777" w:rsidR="006732D2" w:rsidRPr="006732D2" w:rsidRDefault="006732D2" w:rsidP="006732D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Encouragez les élèves à faire part tour à tour de leurs réactions face à chaque scénario au reste de la classe, et discutez de leurs réponses.</w:t>
      </w:r>
    </w:p>
    <w:p w14:paraId="4F42A70D" w14:textId="77777777" w:rsidR="006732D2" w:rsidRPr="006732D2" w:rsidRDefault="006732D2" w:rsidP="006732D2">
      <w:pPr>
        <w:keepNext/>
        <w:keepLines/>
        <w:spacing w:before="40" w:after="0"/>
        <w:jc w:val="both"/>
        <w:outlineLvl w:val="2"/>
        <w:rPr>
          <w:rFonts w:ascii="Arial" w:hAnsi="Arial" w:cs="Arial"/>
          <w:sz w:val="24"/>
          <w:szCs w:val="24"/>
          <w:lang w:val="fr-FR"/>
        </w:rPr>
      </w:pPr>
    </w:p>
    <w:p w14:paraId="4B0F7251" w14:textId="77777777" w:rsidR="006732D2" w:rsidRPr="006732D2" w:rsidRDefault="006732D2" w:rsidP="006732D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 xml:space="preserve">La </w:t>
      </w:r>
      <w:r w:rsidRPr="006732D2">
        <w:rPr>
          <w:rFonts w:ascii="Arial" w:hAnsi="Arial" w:cs="Arial"/>
          <w:b/>
          <w:bCs/>
          <w:sz w:val="24"/>
          <w:szCs w:val="24"/>
          <w:lang w:val="fr-FR"/>
        </w:rPr>
        <w:t>Fiche réponse de l’activité de l’élève</w:t>
      </w:r>
      <w:r w:rsidRPr="006732D2">
        <w:rPr>
          <w:rFonts w:ascii="Arial" w:hAnsi="Arial" w:cs="Arial"/>
          <w:sz w:val="24"/>
          <w:szCs w:val="24"/>
          <w:lang w:val="fr-FR"/>
        </w:rPr>
        <w:t xml:space="preserve"> peut être utilisée pour guider la discussion et vérifier que tous les points ont bien été soulevés.</w:t>
      </w:r>
    </w:p>
    <w:p w14:paraId="5F82208E" w14:textId="6B5589A8" w:rsidR="00713061" w:rsidRPr="001D721C" w:rsidRDefault="00713061" w:rsidP="006732D2">
      <w:pPr>
        <w:rPr>
          <w:rFonts w:ascii="Arial" w:hAnsi="Arial" w:cs="Arial"/>
          <w:lang w:val="fr-FR"/>
        </w:rPr>
      </w:pPr>
    </w:p>
    <w:sectPr w:rsidR="00713061" w:rsidRPr="001D721C" w:rsidSect="005A570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F423" w14:textId="77777777" w:rsidR="00021FE7" w:rsidRDefault="00021FE7" w:rsidP="00AA1827">
      <w:pPr>
        <w:spacing w:after="0" w:line="240" w:lineRule="auto"/>
      </w:pPr>
      <w:r>
        <w:separator/>
      </w:r>
    </w:p>
  </w:endnote>
  <w:endnote w:type="continuationSeparator" w:id="0">
    <w:p w14:paraId="36C924E3" w14:textId="77777777" w:rsidR="00021FE7" w:rsidRDefault="00021FE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AFEF481" w:rsidR="0057598E" w:rsidRPr="007B5AA5" w:rsidRDefault="0057598E" w:rsidP="007B5AA5">
    <w:pPr>
      <w:pStyle w:val="Pieddepage"/>
      <w:pBdr>
        <w:top w:val="single" w:sz="4" w:space="1" w:color="auto"/>
      </w:pBdr>
      <w:rPr>
        <w:rFonts w:ascii="Arial" w:hAnsi="Arial" w:cs="Arial"/>
        <w:sz w:val="24"/>
        <w:szCs w:val="24"/>
        <w:lang w:val="fr-FR"/>
      </w:rPr>
    </w:pPr>
    <w:r w:rsidRPr="007B5AA5">
      <w:rPr>
        <w:noProof/>
        <w:sz w:val="24"/>
        <w:szCs w:val="24"/>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7B5AA5" w:rsidRPr="007B5AA5">
      <w:rPr>
        <w:rFonts w:ascii="Arial" w:hAnsi="Arial" w:cs="Arial"/>
        <w:sz w:val="24"/>
        <w:szCs w:val="24"/>
        <w:lang w:val="fr-FR"/>
      </w:rPr>
      <w:t>Ce projet a été financé par le programme Européen de recherche et d’innovation Horizon 2020 aux termes d’un accord de subvention No 727580</w:t>
    </w:r>
    <w:r w:rsidRPr="007B5AA5">
      <w:rPr>
        <w:rFonts w:ascii="Arial" w:hAnsi="Arial" w:cs="Arial"/>
        <w:sz w:val="24"/>
        <w:szCs w:val="24"/>
        <w:lang w:val="fr-FR"/>
      </w:rPr>
      <w:t>.</w:t>
    </w:r>
    <w:r w:rsidR="007B5AA5" w:rsidRPr="007B5AA5">
      <w:rPr>
        <w:rFonts w:ascii="Arial" w:hAnsi="Arial" w:cs="Arial"/>
        <w:sz w:val="24"/>
        <w:szCs w:val="24"/>
        <w:lang w:val="fr-FR"/>
      </w:rPr>
      <w:t xml:space="preserve"> </w:t>
    </w:r>
    <w:r w:rsidR="007B5AA5">
      <w:rPr>
        <w:rFonts w:ascii="Arial" w:hAnsi="Arial" w:cs="Arial"/>
        <w:sz w:val="24"/>
        <w:szCs w:val="24"/>
        <w:lang w:val="fr-FR"/>
      </w:rPr>
      <w:t xml:space="preserve">                   </w:t>
    </w:r>
    <w:r w:rsidR="007B5AA5" w:rsidRPr="007B5AA5">
      <w:rPr>
        <w:rFonts w:ascii="Arial" w:hAnsi="Arial" w:cs="Arial"/>
        <w:sz w:val="24"/>
        <w:szCs w:val="24"/>
        <w:lang w:val="fr-FR"/>
      </w:rPr>
      <w:t xml:space="preserve"> [</w:t>
    </w:r>
    <w:r w:rsidR="007B5AA5" w:rsidRPr="007B5AA5">
      <w:rPr>
        <w:rFonts w:ascii="Arial" w:hAnsi="Arial" w:cs="Arial"/>
        <w:sz w:val="24"/>
        <w:szCs w:val="24"/>
        <w:lang w:val="fr-FR"/>
      </w:rPr>
      <w:fldChar w:fldCharType="begin"/>
    </w:r>
    <w:r w:rsidR="007B5AA5" w:rsidRPr="007B5AA5">
      <w:rPr>
        <w:rFonts w:ascii="Arial" w:hAnsi="Arial" w:cs="Arial"/>
        <w:sz w:val="24"/>
        <w:szCs w:val="24"/>
        <w:lang w:val="fr-FR"/>
      </w:rPr>
      <w:instrText>PAGE   \* MERGEFORMAT</w:instrText>
    </w:r>
    <w:r w:rsidR="007B5AA5" w:rsidRPr="007B5AA5">
      <w:rPr>
        <w:rFonts w:ascii="Arial" w:hAnsi="Arial" w:cs="Arial"/>
        <w:sz w:val="24"/>
        <w:szCs w:val="24"/>
        <w:lang w:val="fr-FR"/>
      </w:rPr>
      <w:fldChar w:fldCharType="separate"/>
    </w:r>
    <w:r w:rsidR="007B5AA5" w:rsidRPr="007B5AA5">
      <w:rPr>
        <w:rFonts w:ascii="Arial" w:hAnsi="Arial" w:cs="Arial"/>
        <w:sz w:val="24"/>
        <w:szCs w:val="24"/>
        <w:lang w:val="fr-FR"/>
      </w:rPr>
      <w:t>1</w:t>
    </w:r>
    <w:r w:rsidR="007B5AA5" w:rsidRPr="007B5AA5">
      <w:rPr>
        <w:rFonts w:ascii="Arial" w:hAnsi="Arial" w:cs="Arial"/>
        <w:sz w:val="24"/>
        <w:szCs w:val="24"/>
        <w:lang w:val="fr-FR"/>
      </w:rPr>
      <w:fldChar w:fldCharType="end"/>
    </w:r>
    <w:r w:rsidR="007B5AA5" w:rsidRPr="007B5AA5">
      <w:rPr>
        <w:rFonts w:ascii="Arial" w:hAnsi="Arial" w:cs="Arial"/>
        <w:sz w:val="24"/>
        <w:szCs w:val="24"/>
        <w:lang w:val="fr-FR"/>
      </w:rPr>
      <w:t>]</w:t>
    </w:r>
  </w:p>
  <w:p w14:paraId="36C1CD34" w14:textId="1ECE86DB" w:rsidR="0046767A" w:rsidRPr="007B5AA5" w:rsidRDefault="0046767A">
    <w:pPr>
      <w:pStyle w:val="Pieddepage"/>
      <w:rPr>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9D41" w14:textId="77777777" w:rsidR="00021FE7" w:rsidRDefault="00021FE7" w:rsidP="00AA1827">
      <w:pPr>
        <w:spacing w:after="0" w:line="240" w:lineRule="auto"/>
      </w:pPr>
      <w:r>
        <w:separator/>
      </w:r>
    </w:p>
  </w:footnote>
  <w:footnote w:type="continuationSeparator" w:id="0">
    <w:p w14:paraId="1E665A06" w14:textId="77777777" w:rsidR="00021FE7" w:rsidRDefault="00021FE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39968A1D" w:rsidR="005F18EB" w:rsidRDefault="001D721C" w:rsidP="00AA1827">
    <w:pPr>
      <w:pStyle w:val="En-tte"/>
    </w:pPr>
    <w:r w:rsidRPr="00DE52C3">
      <w:rPr>
        <w:noProof/>
      </w:rPr>
      <w:drawing>
        <wp:anchor distT="0" distB="0" distL="114300" distR="114300" simplePos="0" relativeHeight="251665408" behindDoc="1" locked="0" layoutInCell="1" allowOverlap="1" wp14:anchorId="5F3D5220" wp14:editId="42B26475">
          <wp:simplePos x="0" y="0"/>
          <wp:positionH relativeFrom="column">
            <wp:posOffset>5534025</wp:posOffset>
          </wp:positionH>
          <wp:positionV relativeFrom="paragraph">
            <wp:posOffset>-400685</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10697ABE">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E37F5"/>
    <w:multiLevelType w:val="hybridMultilevel"/>
    <w:tmpl w:val="57920978"/>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B2567"/>
    <w:multiLevelType w:val="hybridMultilevel"/>
    <w:tmpl w:val="FEDA82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6C8504BB"/>
    <w:multiLevelType w:val="hybridMultilevel"/>
    <w:tmpl w:val="E1D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8" w15:restartNumberingAfterBreak="0">
    <w:nsid w:val="71DA757A"/>
    <w:multiLevelType w:val="hybridMultilevel"/>
    <w:tmpl w:val="231AF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F6BC0"/>
    <w:multiLevelType w:val="hybridMultilevel"/>
    <w:tmpl w:val="0250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43545">
    <w:abstractNumId w:val="9"/>
  </w:num>
  <w:num w:numId="2" w16cid:durableId="1171916596">
    <w:abstractNumId w:val="26"/>
  </w:num>
  <w:num w:numId="3" w16cid:durableId="276640873">
    <w:abstractNumId w:val="19"/>
  </w:num>
  <w:num w:numId="4" w16cid:durableId="1951545037">
    <w:abstractNumId w:val="37"/>
  </w:num>
  <w:num w:numId="5" w16cid:durableId="80764562">
    <w:abstractNumId w:val="15"/>
  </w:num>
  <w:num w:numId="6" w16cid:durableId="527571652">
    <w:abstractNumId w:val="29"/>
  </w:num>
  <w:num w:numId="7" w16cid:durableId="756755917">
    <w:abstractNumId w:val="21"/>
  </w:num>
  <w:num w:numId="8" w16cid:durableId="1473522714">
    <w:abstractNumId w:val="39"/>
  </w:num>
  <w:num w:numId="9" w16cid:durableId="1155535482">
    <w:abstractNumId w:val="23"/>
  </w:num>
  <w:num w:numId="10" w16cid:durableId="712197185">
    <w:abstractNumId w:val="8"/>
  </w:num>
  <w:num w:numId="11" w16cid:durableId="590621642">
    <w:abstractNumId w:val="27"/>
  </w:num>
  <w:num w:numId="12" w16cid:durableId="60324565">
    <w:abstractNumId w:val="34"/>
  </w:num>
  <w:num w:numId="13" w16cid:durableId="862208677">
    <w:abstractNumId w:val="12"/>
  </w:num>
  <w:num w:numId="14" w16cid:durableId="156308564">
    <w:abstractNumId w:val="22"/>
  </w:num>
  <w:num w:numId="15" w16cid:durableId="830608539">
    <w:abstractNumId w:val="14"/>
  </w:num>
  <w:num w:numId="16" w16cid:durableId="1574587959">
    <w:abstractNumId w:val="16"/>
  </w:num>
  <w:num w:numId="17" w16cid:durableId="947078435">
    <w:abstractNumId w:val="10"/>
  </w:num>
  <w:num w:numId="18" w16cid:durableId="63990639">
    <w:abstractNumId w:val="0"/>
  </w:num>
  <w:num w:numId="19" w16cid:durableId="2099405713">
    <w:abstractNumId w:val="24"/>
  </w:num>
  <w:num w:numId="20" w16cid:durableId="789399830">
    <w:abstractNumId w:val="40"/>
  </w:num>
  <w:num w:numId="21" w16cid:durableId="302583385">
    <w:abstractNumId w:val="2"/>
  </w:num>
  <w:num w:numId="22" w16cid:durableId="1759015543">
    <w:abstractNumId w:val="11"/>
  </w:num>
  <w:num w:numId="23" w16cid:durableId="2140755314">
    <w:abstractNumId w:val="30"/>
  </w:num>
  <w:num w:numId="24" w16cid:durableId="2042389435">
    <w:abstractNumId w:val="13"/>
  </w:num>
  <w:num w:numId="25" w16cid:durableId="568344468">
    <w:abstractNumId w:val="25"/>
  </w:num>
  <w:num w:numId="26" w16cid:durableId="923295656">
    <w:abstractNumId w:val="35"/>
  </w:num>
  <w:num w:numId="27" w16cid:durableId="1271744021">
    <w:abstractNumId w:val="5"/>
  </w:num>
  <w:num w:numId="28" w16cid:durableId="1665589">
    <w:abstractNumId w:val="3"/>
  </w:num>
  <w:num w:numId="29" w16cid:durableId="2003310226">
    <w:abstractNumId w:val="1"/>
  </w:num>
  <w:num w:numId="30" w16cid:durableId="301808086">
    <w:abstractNumId w:val="32"/>
  </w:num>
  <w:num w:numId="31" w16cid:durableId="600719853">
    <w:abstractNumId w:val="7"/>
  </w:num>
  <w:num w:numId="32" w16cid:durableId="1775128264">
    <w:abstractNumId w:val="31"/>
  </w:num>
  <w:num w:numId="33" w16cid:durableId="3359554">
    <w:abstractNumId w:val="38"/>
  </w:num>
  <w:num w:numId="34" w16cid:durableId="1646542236">
    <w:abstractNumId w:val="20"/>
  </w:num>
  <w:num w:numId="35" w16cid:durableId="1167667807">
    <w:abstractNumId w:val="43"/>
  </w:num>
  <w:num w:numId="36" w16cid:durableId="196818119">
    <w:abstractNumId w:val="41"/>
  </w:num>
  <w:num w:numId="37" w16cid:durableId="882449203">
    <w:abstractNumId w:val="44"/>
  </w:num>
  <w:num w:numId="38" w16cid:durableId="4019325">
    <w:abstractNumId w:val="33"/>
  </w:num>
  <w:num w:numId="39" w16cid:durableId="528838674">
    <w:abstractNumId w:val="4"/>
  </w:num>
  <w:num w:numId="40" w16cid:durableId="1311637547">
    <w:abstractNumId w:val="36"/>
  </w:num>
  <w:num w:numId="41" w16cid:durableId="894505874">
    <w:abstractNumId w:val="28"/>
  </w:num>
  <w:num w:numId="42" w16cid:durableId="1123689272">
    <w:abstractNumId w:val="17"/>
  </w:num>
  <w:num w:numId="43" w16cid:durableId="546599615">
    <w:abstractNumId w:val="6"/>
  </w:num>
  <w:num w:numId="44" w16cid:durableId="511843422">
    <w:abstractNumId w:val="18"/>
  </w:num>
  <w:num w:numId="45" w16cid:durableId="181201740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21FE7"/>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46FD"/>
    <w:rsid w:val="001B76CA"/>
    <w:rsid w:val="001C13B3"/>
    <w:rsid w:val="001D0E7F"/>
    <w:rsid w:val="001D721C"/>
    <w:rsid w:val="001E367F"/>
    <w:rsid w:val="001F0E67"/>
    <w:rsid w:val="001F5C9A"/>
    <w:rsid w:val="002202BB"/>
    <w:rsid w:val="00221F1E"/>
    <w:rsid w:val="002365A7"/>
    <w:rsid w:val="002369A4"/>
    <w:rsid w:val="00267630"/>
    <w:rsid w:val="00282302"/>
    <w:rsid w:val="00284ADD"/>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14B50"/>
    <w:rsid w:val="0063128D"/>
    <w:rsid w:val="006478B9"/>
    <w:rsid w:val="006552B0"/>
    <w:rsid w:val="006612F4"/>
    <w:rsid w:val="00664E66"/>
    <w:rsid w:val="006661A6"/>
    <w:rsid w:val="006732D2"/>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6C8"/>
    <w:rsid w:val="007A393B"/>
    <w:rsid w:val="007B5AA5"/>
    <w:rsid w:val="007C6923"/>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905087"/>
    <w:rsid w:val="00916C7C"/>
    <w:rsid w:val="009258AD"/>
    <w:rsid w:val="00927268"/>
    <w:rsid w:val="00952DD1"/>
    <w:rsid w:val="009531BC"/>
    <w:rsid w:val="009546B4"/>
    <w:rsid w:val="009572D6"/>
    <w:rsid w:val="00960C7A"/>
    <w:rsid w:val="00965ACA"/>
    <w:rsid w:val="0099063A"/>
    <w:rsid w:val="009B5E74"/>
    <w:rsid w:val="009D3E3E"/>
    <w:rsid w:val="009D7F0F"/>
    <w:rsid w:val="009E2EB1"/>
    <w:rsid w:val="009E48E4"/>
    <w:rsid w:val="009E65AE"/>
    <w:rsid w:val="00A10757"/>
    <w:rsid w:val="00A202B5"/>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5</cp:revision>
  <dcterms:created xsi:type="dcterms:W3CDTF">2022-08-25T09:31:00Z</dcterms:created>
  <dcterms:modified xsi:type="dcterms:W3CDTF">2022-11-06T08:36:00Z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